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F5" w:rsidRPr="00957DF5" w:rsidRDefault="00AE39CF" w:rsidP="00957DF5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bCs/>
          <w:color w:val="70AD47" w:themeColor="accent6"/>
          <w:sz w:val="32"/>
          <w:szCs w:val="32"/>
        </w:rPr>
      </w:pPr>
      <w:r w:rsidRPr="00AE39CF">
        <w:rPr>
          <w:rFonts w:cstheme="minorHAnsi"/>
          <w:b/>
          <w:bCs/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4716963</wp:posOffset>
            </wp:positionH>
            <wp:positionV relativeFrom="paragraph">
              <wp:posOffset>0</wp:posOffset>
            </wp:positionV>
            <wp:extent cx="1592580" cy="1524811"/>
            <wp:effectExtent l="0" t="0" r="7620" b="0"/>
            <wp:wrapSquare wrapText="bothSides"/>
            <wp:docPr id="2" name="Picture 2" descr="C:\Users\50029347\Documents\____GAA\___CWO Craughwell\Craughwell GAA Cres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029347\Documents\____GAA\___CWO Craughwell\Craughwell GAA Crest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 </w:t>
      </w:r>
      <w:proofErr w:type="spellStart"/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>Craughwell</w:t>
      </w:r>
      <w:proofErr w:type="spellEnd"/>
      <w:r w:rsidR="00957DF5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GAA</w:t>
      </w:r>
    </w:p>
    <w:p w:rsidR="00957DF5" w:rsidRDefault="00957DF5" w:rsidP="0099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</w:t>
      </w:r>
    </w:p>
    <w:p w:rsidR="00AE39CF" w:rsidRPr="00957DF5" w:rsidRDefault="00957DF5" w:rsidP="00957DF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 xml:space="preserve">   </w:t>
      </w:r>
      <w:r w:rsidR="00C5376F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ab/>
      </w:r>
      <w:r w:rsidR="00C5376F">
        <w:rPr>
          <w:rFonts w:ascii="Times New Roman" w:hAnsi="Times New Roman" w:cs="Times New Roman"/>
          <w:b/>
          <w:bCs/>
          <w:color w:val="70AD47" w:themeColor="accent6"/>
          <w:sz w:val="44"/>
          <w:szCs w:val="44"/>
        </w:rPr>
        <w:tab/>
        <w:t>RESPECT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Black-Regular"/>
          <w:color w:val="006893"/>
          <w:sz w:val="24"/>
          <w:szCs w:val="24"/>
        </w:rPr>
      </w:pP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Black-Regular"/>
          <w:color w:val="006893"/>
          <w:sz w:val="24"/>
          <w:szCs w:val="24"/>
        </w:rPr>
      </w:pP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FFFFFF"/>
          <w:sz w:val="24"/>
          <w:szCs w:val="24"/>
        </w:rPr>
      </w:pPr>
      <w:r w:rsidRPr="0046715D">
        <w:rPr>
          <w:rFonts w:cs="FocoBlack-Regular"/>
          <w:color w:val="006893"/>
          <w:sz w:val="24"/>
          <w:szCs w:val="24"/>
        </w:rPr>
        <w:t xml:space="preserve"> </w:t>
      </w:r>
      <w:r w:rsidRPr="0046715D">
        <w:rPr>
          <w:rFonts w:cs="Foco-Bold"/>
          <w:b/>
          <w:bCs/>
          <w:color w:val="FFFFFF"/>
          <w:sz w:val="24"/>
          <w:szCs w:val="24"/>
        </w:rPr>
        <w:t>GIVE RESPECT – GET RESPECT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>Give Respect – Get Respect</w:t>
      </w:r>
      <w:r w:rsidRPr="00C5376F">
        <w:rPr>
          <w:rFonts w:cs="Foco-Regular"/>
          <w:color w:val="70AD47" w:themeColor="accent6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is a</w:t>
      </w:r>
      <w:r>
        <w:rPr>
          <w:rFonts w:cs="Foco-Regular"/>
          <w:color w:val="231F20"/>
          <w:sz w:val="24"/>
          <w:szCs w:val="24"/>
        </w:rPr>
        <w:t>n</w:t>
      </w:r>
      <w:r w:rsidRPr="0046715D">
        <w:rPr>
          <w:rFonts w:cs="Foco-Regular"/>
          <w:color w:val="231F20"/>
          <w:sz w:val="24"/>
          <w:szCs w:val="24"/>
        </w:rPr>
        <w:t xml:space="preserve"> awareness campaign that seeks to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ensure that Gaelic Games are promoted and played in a positive, fair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and enjoyable manner and where Players, Coaches, Spectators and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Referees Give Respect – Get Respect from each other.</w:t>
      </w:r>
    </w:p>
    <w:p w:rsid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46715D">
        <w:rPr>
          <w:rFonts w:cs="Foco-Regular"/>
          <w:color w:val="231F20"/>
          <w:sz w:val="24"/>
          <w:szCs w:val="24"/>
        </w:rPr>
        <w:t xml:space="preserve">The </w:t>
      </w:r>
      <w:r w:rsidRPr="00E62484">
        <w:rPr>
          <w:rFonts w:cs="Foco-Regular"/>
          <w:color w:val="70AD47" w:themeColor="accent6"/>
          <w:sz w:val="24"/>
          <w:szCs w:val="24"/>
        </w:rPr>
        <w:t>RESPECT</w:t>
      </w:r>
      <w:r w:rsidRPr="0046715D">
        <w:rPr>
          <w:rFonts w:cs="Foco-Regular"/>
          <w:color w:val="231F20"/>
          <w:sz w:val="24"/>
          <w:szCs w:val="24"/>
        </w:rPr>
        <w:t xml:space="preserve"> campaign applies at all levels and amongst all players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regardless of age, competition or ability. The key participants in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the Give Respect – Get Respect campaign are not just the Players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themselves but Coaches, Clubs, Parents, Referees and Supporters.</w:t>
      </w:r>
    </w:p>
    <w:p w:rsid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46715D">
        <w:rPr>
          <w:rFonts w:cs="Foco-Regular"/>
          <w:color w:val="231F20"/>
          <w:sz w:val="24"/>
          <w:szCs w:val="24"/>
        </w:rPr>
        <w:t xml:space="preserve">The </w:t>
      </w:r>
      <w:r w:rsidRPr="00E62484">
        <w:rPr>
          <w:rFonts w:cs="Foco-Regular"/>
          <w:color w:val="70AD47" w:themeColor="accent6"/>
          <w:sz w:val="24"/>
          <w:szCs w:val="24"/>
        </w:rPr>
        <w:t xml:space="preserve">Give Respect – Get Respect </w:t>
      </w:r>
      <w:r w:rsidRPr="0046715D">
        <w:rPr>
          <w:rFonts w:cs="Foco-Regular"/>
          <w:color w:val="231F20"/>
          <w:sz w:val="24"/>
          <w:szCs w:val="24"/>
        </w:rPr>
        <w:t>initiative is supported by the GAA,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Ladies Gaelic Football Association, the Camogie Association, GAA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 xml:space="preserve">Handball Ireland and the </w:t>
      </w:r>
      <w:proofErr w:type="spellStart"/>
      <w:r w:rsidRPr="0046715D">
        <w:rPr>
          <w:rFonts w:cs="Foco-Regular"/>
          <w:color w:val="231F20"/>
          <w:sz w:val="24"/>
          <w:szCs w:val="24"/>
        </w:rPr>
        <w:t>Rounders</w:t>
      </w:r>
      <w:proofErr w:type="spellEnd"/>
      <w:r w:rsidRPr="0046715D">
        <w:rPr>
          <w:rFonts w:cs="Foco-Regular"/>
          <w:color w:val="231F20"/>
          <w:sz w:val="24"/>
          <w:szCs w:val="24"/>
        </w:rPr>
        <w:t xml:space="preserve"> Council of Ireland.</w:t>
      </w:r>
    </w:p>
    <w:p w:rsid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006893"/>
          <w:sz w:val="24"/>
          <w:szCs w:val="24"/>
        </w:rPr>
      </w:pPr>
    </w:p>
    <w:p w:rsid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4"/>
          <w:szCs w:val="24"/>
        </w:rPr>
      </w:pPr>
      <w:r w:rsidRPr="00C5376F">
        <w:rPr>
          <w:rFonts w:cs="Foco-Bold"/>
          <w:b/>
          <w:bCs/>
          <w:color w:val="70AD47" w:themeColor="accent6"/>
          <w:sz w:val="24"/>
          <w:szCs w:val="24"/>
        </w:rPr>
        <w:t>THE RESPECT CAMPAIGN HIGHLIGHTS THE FOLLOWING GOOD</w:t>
      </w:r>
      <w:r>
        <w:rPr>
          <w:rFonts w:cs="Foco-Bold"/>
          <w:b/>
          <w:bCs/>
          <w:color w:val="70AD47" w:themeColor="accent6"/>
          <w:sz w:val="24"/>
          <w:szCs w:val="24"/>
        </w:rPr>
        <w:t xml:space="preserve"> </w:t>
      </w:r>
      <w:r w:rsidRPr="00C5376F">
        <w:rPr>
          <w:rFonts w:cs="Foco-Bold"/>
          <w:b/>
          <w:bCs/>
          <w:color w:val="70AD47" w:themeColor="accent6"/>
          <w:sz w:val="24"/>
          <w:szCs w:val="24"/>
        </w:rPr>
        <w:t>PRACTICES:</w:t>
      </w: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4"/>
          <w:szCs w:val="24"/>
        </w:rPr>
      </w:pP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All players and coaches shake hands with their opponents and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the referee before and after each game.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Mark out a designated spectators’ area around the playing area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At relevant underage categories teams should strive to achieve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the maximum participation of all players in accordance with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agreed playing models.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 xml:space="preserve">• </w:t>
      </w:r>
      <w:r w:rsidRPr="0046715D">
        <w:rPr>
          <w:rFonts w:cs="Foco-Regular"/>
          <w:color w:val="231F20"/>
          <w:sz w:val="24"/>
          <w:szCs w:val="24"/>
        </w:rPr>
        <w:t>The host Club should welcome referees and opposing team to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all games.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 merit award, based on sporting endeavour and fair play, shall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 xml:space="preserve">be awarded to players and teams who have upheld the </w:t>
      </w:r>
      <w:r w:rsidRPr="0099295F">
        <w:rPr>
          <w:rFonts w:cs="Foco-Regular"/>
          <w:color w:val="70AD47" w:themeColor="accent6"/>
          <w:sz w:val="24"/>
          <w:szCs w:val="24"/>
        </w:rPr>
        <w:t>RESPECT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principles.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Adopt and implement of the Code of Behaviour when working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with underage players as the minimum level of agreement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between the Club and players, coaches, parents, guardians and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supporters at underage level.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Organise half time exhibition games during Club and inter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County League and Championship Games that promote the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 xml:space="preserve">principles of the </w:t>
      </w:r>
      <w:r w:rsidRPr="0099295F">
        <w:rPr>
          <w:rFonts w:cs="Foco-Regular"/>
          <w:color w:val="70AD47" w:themeColor="accent6"/>
          <w:sz w:val="24"/>
          <w:szCs w:val="24"/>
        </w:rPr>
        <w:t>RESPECT</w:t>
      </w:r>
      <w:r w:rsidRPr="0046715D">
        <w:rPr>
          <w:rFonts w:cs="Foco-Regular"/>
          <w:color w:val="231F20"/>
          <w:sz w:val="24"/>
          <w:szCs w:val="24"/>
        </w:rPr>
        <w:t xml:space="preserve"> campaign in association with schools,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 xml:space="preserve">other Clubs and </w:t>
      </w:r>
      <w:proofErr w:type="spellStart"/>
      <w:r w:rsidRPr="0046715D">
        <w:rPr>
          <w:rFonts w:cs="Foco-Regular"/>
          <w:color w:val="231F20"/>
          <w:sz w:val="24"/>
          <w:szCs w:val="24"/>
        </w:rPr>
        <w:t>Cumann</w:t>
      </w:r>
      <w:proofErr w:type="spellEnd"/>
      <w:r w:rsidRPr="0046715D">
        <w:rPr>
          <w:rFonts w:cs="Foco-Regular"/>
          <w:color w:val="231F20"/>
          <w:sz w:val="24"/>
          <w:szCs w:val="24"/>
        </w:rPr>
        <w:t xml:space="preserve"> </w:t>
      </w:r>
      <w:proofErr w:type="spellStart"/>
      <w:proofErr w:type="gramStart"/>
      <w:r w:rsidRPr="0046715D">
        <w:rPr>
          <w:rFonts w:cs="Foco-Regular"/>
          <w:color w:val="231F20"/>
          <w:sz w:val="24"/>
          <w:szCs w:val="24"/>
        </w:rPr>
        <w:t>na</w:t>
      </w:r>
      <w:proofErr w:type="spellEnd"/>
      <w:proofErr w:type="gramEnd"/>
      <w:r w:rsidRPr="0046715D">
        <w:rPr>
          <w:rFonts w:cs="Foco-Regular"/>
          <w:color w:val="231F20"/>
          <w:sz w:val="24"/>
          <w:szCs w:val="24"/>
        </w:rPr>
        <w:t xml:space="preserve"> </w:t>
      </w:r>
      <w:proofErr w:type="spellStart"/>
      <w:r w:rsidRPr="0046715D">
        <w:rPr>
          <w:rFonts w:cs="Foco-Regular"/>
          <w:color w:val="231F20"/>
          <w:sz w:val="24"/>
          <w:szCs w:val="24"/>
        </w:rPr>
        <w:t>mBunscol</w:t>
      </w:r>
      <w:proofErr w:type="spellEnd"/>
      <w:r w:rsidRPr="0046715D">
        <w:rPr>
          <w:rFonts w:cs="Foco-Regular"/>
          <w:color w:val="231F20"/>
          <w:sz w:val="24"/>
          <w:szCs w:val="24"/>
        </w:rPr>
        <w:t>.</w:t>
      </w:r>
    </w:p>
    <w:p w:rsidR="00C5376F" w:rsidRPr="0046715D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color w:val="231F20"/>
          <w:sz w:val="24"/>
          <w:szCs w:val="24"/>
        </w:rPr>
      </w:pPr>
      <w:r w:rsidRPr="00C5376F">
        <w:rPr>
          <w:rFonts w:cs="Foco-Regular"/>
          <w:color w:val="70AD47" w:themeColor="accent6"/>
          <w:sz w:val="24"/>
          <w:szCs w:val="24"/>
        </w:rPr>
        <w:t>•</w:t>
      </w:r>
      <w:r w:rsidRPr="0046715D">
        <w:rPr>
          <w:rFonts w:cs="Foco-Regular"/>
          <w:color w:val="006893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Clubs should ensure that the coaches of underage teams are</w:t>
      </w:r>
      <w:r>
        <w:rPr>
          <w:rFonts w:cs="Foco-Regular"/>
          <w:color w:val="231F20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 xml:space="preserve">aware of and also implement the </w:t>
      </w:r>
      <w:r w:rsidRPr="00C5376F">
        <w:rPr>
          <w:rFonts w:cs="Foco-Regular"/>
          <w:color w:val="70AD47" w:themeColor="accent6"/>
          <w:sz w:val="24"/>
          <w:szCs w:val="24"/>
        </w:rPr>
        <w:t>Give Respect – Get Respect</w:t>
      </w:r>
      <w:r w:rsidRPr="00C5376F">
        <w:rPr>
          <w:rFonts w:cs="Foco-Regular"/>
          <w:color w:val="70AD47" w:themeColor="accent6"/>
          <w:sz w:val="24"/>
          <w:szCs w:val="24"/>
        </w:rPr>
        <w:t xml:space="preserve"> </w:t>
      </w:r>
      <w:r w:rsidRPr="0046715D">
        <w:rPr>
          <w:rFonts w:cs="Foco-Regular"/>
          <w:color w:val="231F20"/>
          <w:sz w:val="24"/>
          <w:szCs w:val="24"/>
        </w:rPr>
        <w:t>initiative.</w:t>
      </w:r>
    </w:p>
    <w:p w:rsid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4"/>
          <w:szCs w:val="24"/>
        </w:rPr>
      </w:pP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Bold"/>
          <w:b/>
          <w:bCs/>
          <w:color w:val="70AD47" w:themeColor="accent6"/>
          <w:sz w:val="28"/>
          <w:szCs w:val="28"/>
        </w:rPr>
      </w:pPr>
      <w:r w:rsidRPr="00C5376F">
        <w:rPr>
          <w:rFonts w:cs="Foco-Bold"/>
          <w:b/>
          <w:bCs/>
          <w:color w:val="70AD47" w:themeColor="accent6"/>
          <w:sz w:val="28"/>
          <w:szCs w:val="28"/>
        </w:rPr>
        <w:t>RESPECT</w:t>
      </w: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000000" w:themeColor="text1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 xml:space="preserve">• </w:t>
      </w:r>
      <w:r w:rsidRPr="00C5376F">
        <w:rPr>
          <w:rFonts w:cs="Foco-Regular"/>
          <w:b/>
          <w:color w:val="000000" w:themeColor="text1"/>
          <w:sz w:val="24"/>
          <w:szCs w:val="24"/>
        </w:rPr>
        <w:t>Responsible</w:t>
      </w:r>
      <w:bookmarkStart w:id="0" w:name="_GoBack"/>
      <w:bookmarkEnd w:id="0"/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70AD47" w:themeColor="accent6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 xml:space="preserve">• </w:t>
      </w:r>
      <w:r w:rsidRPr="00C5376F">
        <w:rPr>
          <w:rFonts w:cs="Foco-Regular"/>
          <w:b/>
          <w:color w:val="000000" w:themeColor="text1"/>
          <w:sz w:val="24"/>
          <w:szCs w:val="24"/>
        </w:rPr>
        <w:t>Encouraging</w:t>
      </w: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70AD47" w:themeColor="accent6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 xml:space="preserve">• </w:t>
      </w:r>
      <w:r w:rsidRPr="00C5376F">
        <w:rPr>
          <w:rFonts w:cs="Foco-Regular"/>
          <w:b/>
          <w:color w:val="000000" w:themeColor="text1"/>
          <w:sz w:val="24"/>
          <w:szCs w:val="24"/>
        </w:rPr>
        <w:t>Supportive</w:t>
      </w: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70AD47" w:themeColor="accent6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>•</w:t>
      </w:r>
      <w:r w:rsidRPr="00C5376F">
        <w:rPr>
          <w:rFonts w:cs="Foco-Regular"/>
          <w:b/>
          <w:color w:val="000000" w:themeColor="text1"/>
          <w:sz w:val="24"/>
          <w:szCs w:val="24"/>
        </w:rPr>
        <w:t xml:space="preserve"> Positive</w:t>
      </w:r>
    </w:p>
    <w:p w:rsidR="00C5376F" w:rsidRPr="00C5376F" w:rsidRDefault="00C5376F" w:rsidP="00C5376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70AD47" w:themeColor="accent6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>•</w:t>
      </w:r>
      <w:r w:rsidRPr="00C5376F">
        <w:rPr>
          <w:rFonts w:cs="Foco-Regular"/>
          <w:b/>
          <w:color w:val="000000" w:themeColor="text1"/>
          <w:sz w:val="24"/>
          <w:szCs w:val="24"/>
        </w:rPr>
        <w:t xml:space="preserve"> Enabling</w:t>
      </w:r>
    </w:p>
    <w:p w:rsidR="0099295F" w:rsidRDefault="00C5376F" w:rsidP="0099295F">
      <w:pPr>
        <w:autoSpaceDE w:val="0"/>
        <w:autoSpaceDN w:val="0"/>
        <w:adjustRightInd w:val="0"/>
        <w:spacing w:after="0" w:line="240" w:lineRule="auto"/>
        <w:rPr>
          <w:rFonts w:cs="Foco-Regular"/>
          <w:b/>
          <w:color w:val="000000" w:themeColor="text1"/>
          <w:sz w:val="24"/>
          <w:szCs w:val="24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 xml:space="preserve">• </w:t>
      </w:r>
      <w:r w:rsidRPr="00C5376F">
        <w:rPr>
          <w:rFonts w:cs="Foco-Regular"/>
          <w:b/>
          <w:color w:val="000000" w:themeColor="text1"/>
          <w:sz w:val="24"/>
          <w:szCs w:val="24"/>
        </w:rPr>
        <w:t>Considerate</w:t>
      </w:r>
    </w:p>
    <w:p w:rsidR="0085033F" w:rsidRPr="00ED2D38" w:rsidRDefault="00C5376F" w:rsidP="0099295F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C5376F">
        <w:rPr>
          <w:rFonts w:cs="Foco-Regular"/>
          <w:b/>
          <w:color w:val="70AD47" w:themeColor="accent6"/>
          <w:sz w:val="24"/>
          <w:szCs w:val="24"/>
        </w:rPr>
        <w:t xml:space="preserve">• </w:t>
      </w:r>
      <w:r w:rsidRPr="00C5376F">
        <w:rPr>
          <w:rFonts w:cs="Foco-Regular"/>
          <w:b/>
          <w:color w:val="000000" w:themeColor="text1"/>
          <w:sz w:val="24"/>
          <w:szCs w:val="24"/>
        </w:rPr>
        <w:t>Tolerant</w:t>
      </w:r>
    </w:p>
    <w:sectPr w:rsidR="0085033F" w:rsidRPr="00ED2D38" w:rsidSect="0099295F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Blac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8"/>
    <w:rsid w:val="00074BD0"/>
    <w:rsid w:val="000C549C"/>
    <w:rsid w:val="000D21A8"/>
    <w:rsid w:val="000E3C9D"/>
    <w:rsid w:val="00146572"/>
    <w:rsid w:val="00275E9C"/>
    <w:rsid w:val="002B024F"/>
    <w:rsid w:val="003A78BD"/>
    <w:rsid w:val="007D671E"/>
    <w:rsid w:val="0085033F"/>
    <w:rsid w:val="00910787"/>
    <w:rsid w:val="00925911"/>
    <w:rsid w:val="00957DF5"/>
    <w:rsid w:val="00991059"/>
    <w:rsid w:val="0099295F"/>
    <w:rsid w:val="009C1531"/>
    <w:rsid w:val="00AE39CF"/>
    <w:rsid w:val="00C066B1"/>
    <w:rsid w:val="00C5376F"/>
    <w:rsid w:val="00C85EB8"/>
    <w:rsid w:val="00C90221"/>
    <w:rsid w:val="00E62484"/>
    <w:rsid w:val="00EB41C8"/>
    <w:rsid w:val="00ED2D38"/>
    <w:rsid w:val="00E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4021"/>
  <w15:chartTrackingRefBased/>
  <w15:docId w15:val="{C2A2AFFD-6486-42A5-A3EF-7141F40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a Hewlett Packard Enterprise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Thomas T</dc:creator>
  <cp:keywords/>
  <dc:description/>
  <cp:lastModifiedBy>Martyn Thomas T</cp:lastModifiedBy>
  <cp:revision>3</cp:revision>
  <cp:lastPrinted>2019-03-26T09:37:00Z</cp:lastPrinted>
  <dcterms:created xsi:type="dcterms:W3CDTF">2019-03-26T14:56:00Z</dcterms:created>
  <dcterms:modified xsi:type="dcterms:W3CDTF">2019-03-26T14:57:00Z</dcterms:modified>
</cp:coreProperties>
</file>